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52FD" w14:textId="7CFC4A5C" w:rsidR="00D2485F" w:rsidRDefault="00B8026F">
      <w:pPr>
        <w:rPr>
          <w:b/>
        </w:rPr>
      </w:pPr>
      <w:r w:rsidRPr="00B8026F">
        <w:rPr>
          <w:b/>
        </w:rPr>
        <w:t>Assignment #</w:t>
      </w:r>
      <w:r w:rsidR="00AD79B8">
        <w:rPr>
          <w:b/>
        </w:rPr>
        <w:t>4</w:t>
      </w:r>
      <w:r w:rsidR="008A49BC">
        <w:rPr>
          <w:b/>
        </w:rPr>
        <w:t xml:space="preserve">; Due </w:t>
      </w:r>
      <w:r w:rsidR="00F369D4">
        <w:rPr>
          <w:b/>
        </w:rPr>
        <w:t xml:space="preserve">February </w:t>
      </w:r>
      <w:r w:rsidR="002A15D8">
        <w:rPr>
          <w:b/>
        </w:rPr>
        <w:t>24</w:t>
      </w:r>
      <w:bookmarkStart w:id="0" w:name="_GoBack"/>
      <w:bookmarkEnd w:id="0"/>
      <w:r w:rsidR="008A49BC">
        <w:rPr>
          <w:b/>
        </w:rPr>
        <w:t xml:space="preserve"> at start of class</w:t>
      </w:r>
    </w:p>
    <w:p w14:paraId="05066AFD" w14:textId="77777777" w:rsidR="00B07B64" w:rsidRPr="00B8026F" w:rsidRDefault="00B07B64">
      <w:pPr>
        <w:rPr>
          <w:b/>
        </w:rPr>
      </w:pPr>
    </w:p>
    <w:p w14:paraId="11B6F80A" w14:textId="77777777" w:rsidR="00AD79B8" w:rsidRDefault="00AD79B8" w:rsidP="00AD79B8">
      <w:pPr>
        <w:tabs>
          <w:tab w:val="left" w:pos="0"/>
        </w:tabs>
        <w:spacing w:before="240"/>
      </w:pPr>
      <w:r>
        <w:t xml:space="preserve">Choosing from among </w:t>
      </w:r>
      <w:r>
        <w:rPr>
          <w:b/>
        </w:rPr>
        <w:t>(REC)</w:t>
      </w:r>
      <w:r>
        <w:t xml:space="preserve"> </w:t>
      </w:r>
      <w:r>
        <w:rPr>
          <w:b/>
        </w:rPr>
        <w:t>recursive</w:t>
      </w:r>
      <w:r>
        <w:t xml:space="preserve">, </w:t>
      </w:r>
      <w:r>
        <w:rPr>
          <w:b/>
        </w:rPr>
        <w:t>(RE)</w:t>
      </w:r>
      <w:r>
        <w:t xml:space="preserve"> </w:t>
      </w:r>
      <w:r>
        <w:rPr>
          <w:b/>
        </w:rPr>
        <w:t>re non-</w:t>
      </w:r>
      <w:r w:rsidRPr="009045AE">
        <w:rPr>
          <w:b/>
        </w:rPr>
        <w:t>recursive, (coRE) co-re non-recursive</w:t>
      </w:r>
      <w:r w:rsidRPr="009045AE">
        <w:t xml:space="preserve">, </w:t>
      </w:r>
      <w:r w:rsidRPr="009045AE">
        <w:rPr>
          <w:b/>
        </w:rPr>
        <w:t>(</w:t>
      </w:r>
      <w:r>
        <w:rPr>
          <w:b/>
        </w:rPr>
        <w:t>NRNC)</w:t>
      </w:r>
      <w:r>
        <w:t xml:space="preserve"> </w:t>
      </w:r>
      <w:r>
        <w:rPr>
          <w:b/>
        </w:rPr>
        <w:t>non-re/non-co-re</w:t>
      </w:r>
      <w:r>
        <w:t xml:space="preserve">, categorize each of the sets in a) through d). Justify your answer by showing some minimal quantification of some known recursive predicate. </w:t>
      </w:r>
    </w:p>
    <w:p w14:paraId="1BBE22EA" w14:textId="7399FDC5" w:rsidR="00C25303" w:rsidRDefault="00AD79B8" w:rsidP="00C25303">
      <w:pPr>
        <w:spacing w:before="120"/>
        <w:ind w:left="720" w:hanging="720"/>
      </w:pPr>
      <w:r>
        <w:rPr>
          <w:b/>
        </w:rPr>
        <w:t>a.)</w:t>
      </w:r>
      <w:r>
        <w:rPr>
          <w:b/>
        </w:rPr>
        <w:tab/>
        <w:t xml:space="preserve">{ </w:t>
      </w:r>
      <w:r w:rsidR="00D24056">
        <w:rPr>
          <w:b/>
        </w:rPr>
        <w:t>&lt;</w:t>
      </w:r>
      <w:r w:rsidR="00EE547F">
        <w:rPr>
          <w:b/>
        </w:rPr>
        <w:t xml:space="preserve"> </w:t>
      </w:r>
      <w:r>
        <w:rPr>
          <w:b/>
        </w:rPr>
        <w:t>f</w:t>
      </w:r>
      <w:r w:rsidR="00D24056">
        <w:rPr>
          <w:b/>
        </w:rPr>
        <w:t>,</w:t>
      </w:r>
      <w:r w:rsidR="00EE547F">
        <w:rPr>
          <w:b/>
        </w:rPr>
        <w:t xml:space="preserve"> </w:t>
      </w:r>
      <w:r w:rsidR="00D24056">
        <w:rPr>
          <w:b/>
        </w:rPr>
        <w:t>g</w:t>
      </w:r>
      <w:r w:rsidR="00EE547F">
        <w:rPr>
          <w:b/>
        </w:rPr>
        <w:t xml:space="preserve"> </w:t>
      </w:r>
      <w:r w:rsidR="00D24056">
        <w:rPr>
          <w:b/>
        </w:rPr>
        <w:t>&gt;</w:t>
      </w:r>
      <w:r>
        <w:rPr>
          <w:b/>
        </w:rPr>
        <w:t xml:space="preserve"> |  domain(</w:t>
      </w:r>
      <w:r w:rsidR="00EE547F">
        <w:rPr>
          <w:b/>
        </w:rPr>
        <w:sym w:font="Symbol" w:char="F06A"/>
      </w:r>
      <w:r w:rsidR="00EE547F" w:rsidRPr="00EE547F">
        <w:rPr>
          <w:b/>
          <w:vertAlign w:val="subscript"/>
        </w:rPr>
        <w:t>f</w:t>
      </w:r>
      <w:r>
        <w:rPr>
          <w:b/>
        </w:rPr>
        <w:t xml:space="preserve">) </w:t>
      </w:r>
      <w:r w:rsidR="00D24056">
        <w:rPr>
          <w:b/>
        </w:rPr>
        <w:sym w:font="Symbol" w:char="F0CD"/>
      </w:r>
      <w:r w:rsidR="00D24056">
        <w:rPr>
          <w:b/>
        </w:rPr>
        <w:t xml:space="preserve"> domain(</w:t>
      </w:r>
      <w:r w:rsidR="00EE547F">
        <w:rPr>
          <w:b/>
        </w:rPr>
        <w:sym w:font="Symbol" w:char="F06A"/>
      </w:r>
      <w:r w:rsidR="00EE547F">
        <w:rPr>
          <w:b/>
          <w:vertAlign w:val="subscript"/>
        </w:rPr>
        <w:t>g</w:t>
      </w:r>
      <w:r w:rsidR="00D24056">
        <w:rPr>
          <w:b/>
        </w:rPr>
        <w:t>)</w:t>
      </w:r>
      <w:r>
        <w:rPr>
          <w:b/>
        </w:rPr>
        <w:t xml:space="preserve"> }</w:t>
      </w:r>
      <w:r>
        <w:t xml:space="preserve"> </w:t>
      </w:r>
      <w:r>
        <w:tab/>
      </w:r>
      <w:r>
        <w:tab/>
      </w:r>
      <w:r w:rsidRPr="009045AE">
        <w:tab/>
      </w:r>
      <w:r w:rsidRPr="009045AE">
        <w:tab/>
      </w:r>
      <w:r w:rsidRPr="009045AE">
        <w:tab/>
      </w:r>
      <w:r>
        <w:tab/>
      </w:r>
    </w:p>
    <w:p w14:paraId="33566509" w14:textId="353B7507" w:rsidR="00AD79B8" w:rsidRDefault="00C25303" w:rsidP="00C25303">
      <w:pPr>
        <w:spacing w:before="120"/>
        <w:ind w:left="720" w:hanging="720"/>
        <w:rPr>
          <w:u w:val="single"/>
        </w:rPr>
      </w:pPr>
      <w:r>
        <w:tab/>
      </w:r>
      <w:r>
        <w:rPr>
          <w:u w:val="single"/>
        </w:rPr>
        <w:tab/>
      </w:r>
      <w:r w:rsidR="00AD79B8">
        <w:rPr>
          <w:u w:val="single"/>
        </w:rPr>
        <w:tab/>
      </w:r>
      <w:r w:rsidR="00AD79B8">
        <w:rPr>
          <w:u w:val="single"/>
        </w:rPr>
        <w:tab/>
      </w:r>
    </w:p>
    <w:p w14:paraId="146ED61A" w14:textId="5033554C" w:rsidR="00AD79B8" w:rsidRPr="00F058DB" w:rsidRDefault="00AD79B8" w:rsidP="00C25303">
      <w:pPr>
        <w:spacing w:before="120"/>
        <w:rPr>
          <w:b/>
        </w:rPr>
      </w:pPr>
      <w:r>
        <w:rPr>
          <w:b/>
        </w:rPr>
        <w:tab/>
        <w:t>Justification:</w:t>
      </w:r>
      <w:r w:rsidRPr="00DE34B5">
        <w:rPr>
          <w:b/>
        </w:rPr>
        <w:tab/>
      </w:r>
      <w:r>
        <w:rPr>
          <w:b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</w:p>
    <w:p w14:paraId="216AD64F" w14:textId="405363EE" w:rsidR="00D24056" w:rsidRDefault="00D24056" w:rsidP="00D24056">
      <w:pPr>
        <w:spacing w:before="120"/>
        <w:ind w:left="720" w:hanging="720"/>
        <w:rPr>
          <w:sz w:val="16"/>
          <w:szCs w:val="16"/>
        </w:rPr>
      </w:pPr>
      <w:r>
        <w:t>Note: This allows equal domains, but even works if domain(</w:t>
      </w:r>
      <w:r w:rsidR="00EE547F">
        <w:rPr>
          <w:b/>
        </w:rPr>
        <w:sym w:font="Symbol" w:char="F06A"/>
      </w:r>
      <w:r w:rsidR="00EE547F" w:rsidRPr="00EE547F">
        <w:rPr>
          <w:b/>
          <w:vertAlign w:val="subscript"/>
        </w:rPr>
        <w:t>f</w:t>
      </w:r>
      <w:r>
        <w:t>) is Ø and domain(</w:t>
      </w:r>
      <w:r w:rsidR="00EE547F">
        <w:rPr>
          <w:b/>
        </w:rPr>
        <w:sym w:font="Symbol" w:char="F06A"/>
      </w:r>
      <w:r w:rsidR="00EE547F">
        <w:rPr>
          <w:b/>
          <w:vertAlign w:val="subscript"/>
        </w:rPr>
        <w:t>g</w:t>
      </w:r>
      <w:r>
        <w:t xml:space="preserve">) is </w:t>
      </w:r>
      <w:r>
        <w:sym w:font="Symbol" w:char="F0C0"/>
      </w:r>
      <w:r>
        <w:t>.</w:t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</w:p>
    <w:p w14:paraId="2DC81585" w14:textId="2BFC1BF2" w:rsidR="00D24056" w:rsidRDefault="00AD79B8" w:rsidP="00D24056">
      <w:pPr>
        <w:spacing w:before="120"/>
        <w:ind w:left="720" w:hanging="720"/>
        <w:rPr>
          <w:b/>
        </w:rPr>
      </w:pPr>
      <w:r>
        <w:rPr>
          <w:b/>
        </w:rPr>
        <w:t>b.)</w:t>
      </w:r>
      <w:r>
        <w:rPr>
          <w:b/>
        </w:rPr>
        <w:tab/>
        <w:t xml:space="preserve">{ f  | </w:t>
      </w:r>
      <w:r w:rsidR="00D24056">
        <w:rPr>
          <w:b/>
        </w:rPr>
        <w:t xml:space="preserve"> no number appears more than once in </w:t>
      </w:r>
      <w:r w:rsidR="00EE547F">
        <w:rPr>
          <w:b/>
        </w:rPr>
        <w:t>range(</w:t>
      </w:r>
      <w:r w:rsidR="00EE547F">
        <w:rPr>
          <w:b/>
        </w:rPr>
        <w:sym w:font="Symbol" w:char="F06A"/>
      </w:r>
      <w:r w:rsidR="00EE547F" w:rsidRPr="00EE547F">
        <w:rPr>
          <w:b/>
          <w:vertAlign w:val="subscript"/>
        </w:rPr>
        <w:t>f</w:t>
      </w:r>
      <w:r w:rsidR="00EE547F">
        <w:rPr>
          <w:b/>
        </w:rPr>
        <w:t xml:space="preserve">) </w:t>
      </w:r>
      <w:r w:rsidR="00D24056">
        <w:rPr>
          <w:b/>
        </w:rPr>
        <w:t>}</w:t>
      </w:r>
      <w:r w:rsidR="00D24056">
        <w:t xml:space="preserve"> </w:t>
      </w:r>
      <w:r w:rsidR="00D24056">
        <w:tab/>
      </w:r>
      <w:r w:rsidR="00D24056">
        <w:rPr>
          <w:b/>
        </w:rPr>
        <w:tab/>
      </w:r>
    </w:p>
    <w:p w14:paraId="52DC87F8" w14:textId="2739A13B" w:rsidR="00D24056" w:rsidRDefault="00D24056" w:rsidP="00D24056">
      <w:pPr>
        <w:spacing w:before="120"/>
        <w:ind w:left="720" w:hanging="720"/>
        <w:rPr>
          <w:u w:val="single"/>
        </w:rPr>
      </w:pP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592841" w14:textId="77777777" w:rsidR="00D24056" w:rsidRPr="00F058DB" w:rsidRDefault="00D24056" w:rsidP="00D24056">
      <w:pPr>
        <w:spacing w:before="120"/>
        <w:rPr>
          <w:b/>
        </w:rPr>
      </w:pPr>
      <w:r>
        <w:rPr>
          <w:b/>
        </w:rPr>
        <w:tab/>
        <w:t>Justification:</w:t>
      </w:r>
      <w:r w:rsidRPr="00DE34B5">
        <w:rPr>
          <w:b/>
        </w:rPr>
        <w:tab/>
      </w:r>
      <w:r>
        <w:rPr>
          <w:b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</w:p>
    <w:p w14:paraId="6EC2F94D" w14:textId="74627244" w:rsidR="00AD79B8" w:rsidRPr="00F058DB" w:rsidRDefault="003C11F0" w:rsidP="00D24056">
      <w:pPr>
        <w:spacing w:before="120"/>
        <w:ind w:left="720" w:hanging="720"/>
        <w:rPr>
          <w:b/>
        </w:rPr>
      </w:pPr>
      <w:r>
        <w:t xml:space="preserve">Note: </w:t>
      </w:r>
      <w:r w:rsidR="00D24056">
        <w:t xml:space="preserve">This can include functions whose ranges are empty and </w:t>
      </w:r>
      <w:r w:rsidR="00EE547F">
        <w:t>even</w:t>
      </w:r>
      <w:r w:rsidR="00D24056">
        <w:t xml:space="preserve"> those whose ranges do include all natural numbers.</w:t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</w:p>
    <w:p w14:paraId="625E2B04" w14:textId="73C3211D" w:rsidR="00C25303" w:rsidRDefault="00EE547F" w:rsidP="00C25303">
      <w:pPr>
        <w:spacing w:before="120"/>
        <w:ind w:left="720" w:hanging="720"/>
      </w:pPr>
      <w:r>
        <w:rPr>
          <w:b/>
        </w:rPr>
        <w:t>c.)</w:t>
      </w:r>
      <w:r>
        <w:rPr>
          <w:b/>
        </w:rPr>
        <w:tab/>
        <w:t>{ f</w:t>
      </w:r>
      <w:r w:rsidR="00AD79B8">
        <w:rPr>
          <w:b/>
        </w:rPr>
        <w:t xml:space="preserve"> | </w:t>
      </w:r>
      <w:r>
        <w:rPr>
          <w:b/>
        </w:rPr>
        <w:sym w:font="Symbol" w:char="F06A"/>
      </w:r>
      <w:r w:rsidR="00AD79B8" w:rsidRPr="00EE547F">
        <w:rPr>
          <w:b/>
          <w:vertAlign w:val="subscript"/>
        </w:rPr>
        <w:t>f</w:t>
      </w:r>
      <w:r w:rsidR="00AD79B8">
        <w:rPr>
          <w:b/>
        </w:rPr>
        <w:t>(</w:t>
      </w:r>
      <w:r>
        <w:rPr>
          <w:b/>
        </w:rPr>
        <w:t>f</w:t>
      </w:r>
      <w:r w:rsidR="00DE7888">
        <w:rPr>
          <w:b/>
        </w:rPr>
        <w:t>)</w:t>
      </w:r>
      <w:r w:rsidR="00DE7888">
        <w:rPr>
          <w:b/>
        </w:rPr>
        <w:sym w:font="Symbol" w:char="F0AF"/>
      </w:r>
      <w:r w:rsidR="00DE7888">
        <w:rPr>
          <w:b/>
        </w:rPr>
        <w:t xml:space="preserve"> </w:t>
      </w:r>
      <w:r w:rsidR="00AD79B8">
        <w:rPr>
          <w:b/>
        </w:rPr>
        <w:t xml:space="preserve">in at most </w:t>
      </w:r>
      <w:r>
        <w:rPr>
          <w:b/>
        </w:rPr>
        <w:t>f</w:t>
      </w:r>
      <w:r w:rsidR="00AD4AE9">
        <w:rPr>
          <w:b/>
        </w:rPr>
        <w:t>+1</w:t>
      </w:r>
      <w:r w:rsidR="00C25303">
        <w:rPr>
          <w:b/>
        </w:rPr>
        <w:t xml:space="preserve"> steps }</w:t>
      </w:r>
    </w:p>
    <w:p w14:paraId="48E2FA61" w14:textId="45CF8C81" w:rsidR="00AD79B8" w:rsidRDefault="00C25303" w:rsidP="00C25303">
      <w:pPr>
        <w:spacing w:before="120"/>
        <w:ind w:left="720" w:hanging="720"/>
        <w:rPr>
          <w:u w:val="single"/>
        </w:rPr>
      </w:pPr>
      <w:r>
        <w:tab/>
      </w:r>
      <w:r w:rsidR="00AD79B8" w:rsidRPr="009045AE">
        <w:rPr>
          <w:u w:val="single"/>
        </w:rPr>
        <w:tab/>
      </w:r>
      <w:r w:rsidR="00AD79B8">
        <w:rPr>
          <w:u w:val="single"/>
        </w:rPr>
        <w:tab/>
      </w:r>
      <w:r w:rsidR="00AD79B8">
        <w:rPr>
          <w:u w:val="single"/>
        </w:rPr>
        <w:tab/>
      </w:r>
    </w:p>
    <w:p w14:paraId="05EC154B" w14:textId="77777777" w:rsidR="00C25303" w:rsidRDefault="00AD79B8" w:rsidP="00C25303">
      <w:pPr>
        <w:spacing w:before="120"/>
        <w:ind w:firstLine="720"/>
        <w:rPr>
          <w:b/>
        </w:rPr>
      </w:pPr>
      <w:r>
        <w:rPr>
          <w:b/>
        </w:rPr>
        <w:t>Justification:</w:t>
      </w:r>
      <w:r w:rsidRPr="00DE34B5">
        <w:rPr>
          <w:b/>
        </w:rPr>
        <w:tab/>
      </w:r>
    </w:p>
    <w:p w14:paraId="46AC3B5F" w14:textId="01C8ED48" w:rsidR="00AD79B8" w:rsidRPr="00F058DB" w:rsidRDefault="003C11F0" w:rsidP="003C11F0">
      <w:pPr>
        <w:spacing w:before="120"/>
      </w:pPr>
      <w:r>
        <w:t xml:space="preserve">Note: </w:t>
      </w:r>
      <w:r w:rsidR="00EE547F">
        <w:t xml:space="preserve">This is similar to the set </w:t>
      </w:r>
      <w:r w:rsidR="00EE547F">
        <w:rPr>
          <w:b/>
        </w:rPr>
        <w:t>K</w:t>
      </w:r>
      <w:r w:rsidR="00EE547F">
        <w:t xml:space="preserve"> but involves an added twist.</w:t>
      </w:r>
      <w:r w:rsidR="00AD79B8" w:rsidRPr="00DE34B5">
        <w:tab/>
      </w:r>
      <w:r w:rsidR="00AD79B8" w:rsidRPr="00443A5C">
        <w:rPr>
          <w:sz w:val="16"/>
          <w:szCs w:val="16"/>
        </w:rPr>
        <w:tab/>
      </w:r>
    </w:p>
    <w:p w14:paraId="39204288" w14:textId="3C224B27" w:rsidR="00C25303" w:rsidRDefault="00AD79B8" w:rsidP="00C25303">
      <w:pPr>
        <w:spacing w:before="120"/>
        <w:ind w:left="720" w:hanging="720"/>
        <w:rPr>
          <w:b/>
        </w:rPr>
      </w:pPr>
      <w:r>
        <w:rPr>
          <w:b/>
        </w:rPr>
        <w:t>d.)</w:t>
      </w:r>
      <w:r>
        <w:rPr>
          <w:b/>
        </w:rPr>
        <w:tab/>
        <w:t xml:space="preserve">{ f | </w:t>
      </w:r>
      <w:r w:rsidR="00392F17">
        <w:rPr>
          <w:b/>
        </w:rPr>
        <w:sym w:font="Symbol" w:char="F06A"/>
      </w:r>
      <w:r w:rsidR="00392F17" w:rsidRPr="00EE547F">
        <w:rPr>
          <w:b/>
          <w:vertAlign w:val="subscript"/>
        </w:rPr>
        <w:t>f</w:t>
      </w:r>
      <w:r w:rsidR="00DE7888">
        <w:rPr>
          <w:b/>
        </w:rPr>
        <w:t>(f)</w:t>
      </w:r>
      <w:r w:rsidR="00DE7888">
        <w:rPr>
          <w:b/>
        </w:rPr>
        <w:sym w:font="Symbol" w:char="F0AF"/>
      </w:r>
      <w:r w:rsidR="00DE7888">
        <w:rPr>
          <w:b/>
        </w:rPr>
        <w:t xml:space="preserve"> </w:t>
      </w:r>
      <w:r w:rsidR="00392F17">
        <w:rPr>
          <w:b/>
        </w:rPr>
        <w:t>but takes at least f+1 steps to do so</w:t>
      </w:r>
      <w:r>
        <w:rPr>
          <w:b/>
        </w:rPr>
        <w:t xml:space="preserve"> }</w:t>
      </w:r>
      <w:r>
        <w:rPr>
          <w:b/>
        </w:rPr>
        <w:tab/>
      </w:r>
    </w:p>
    <w:p w14:paraId="586E8713" w14:textId="4CF00F75" w:rsidR="00AD79B8" w:rsidRDefault="00C25303" w:rsidP="00C25303">
      <w:pPr>
        <w:spacing w:before="120"/>
        <w:ind w:left="720" w:hanging="720"/>
        <w:rPr>
          <w:u w:val="single"/>
        </w:rPr>
      </w:pPr>
      <w:r>
        <w:rPr>
          <w:b/>
        </w:rPr>
        <w:tab/>
      </w:r>
      <w:r w:rsidR="00AD79B8" w:rsidRPr="009045AE">
        <w:rPr>
          <w:u w:val="single"/>
        </w:rPr>
        <w:tab/>
      </w:r>
      <w:r w:rsidR="00AD79B8">
        <w:rPr>
          <w:u w:val="single"/>
        </w:rPr>
        <w:tab/>
      </w:r>
      <w:r w:rsidR="00AD79B8" w:rsidRPr="009045AE">
        <w:rPr>
          <w:u w:val="single"/>
        </w:rPr>
        <w:tab/>
      </w:r>
    </w:p>
    <w:p w14:paraId="226DB300" w14:textId="77777777" w:rsidR="003C11F0" w:rsidRDefault="00AD79B8" w:rsidP="003C11F0">
      <w:pPr>
        <w:spacing w:before="120"/>
        <w:rPr>
          <w:b/>
        </w:rPr>
      </w:pPr>
      <w:r>
        <w:rPr>
          <w:b/>
        </w:rPr>
        <w:tab/>
        <w:t>Justification:</w:t>
      </w:r>
      <w:r w:rsidRPr="00DE34B5">
        <w:rPr>
          <w:b/>
        </w:rPr>
        <w:tab/>
      </w:r>
    </w:p>
    <w:p w14:paraId="36D7EE32" w14:textId="7C7A175D" w:rsidR="000C27C9" w:rsidRDefault="003C11F0" w:rsidP="003C11F0">
      <w:pPr>
        <w:spacing w:before="120"/>
      </w:pPr>
      <w:r>
        <w:t xml:space="preserve">Note: </w:t>
      </w:r>
      <w:r w:rsidR="00392F17">
        <w:t xml:space="preserve">This is also similar to </w:t>
      </w:r>
      <w:r w:rsidR="00392F17">
        <w:rPr>
          <w:b/>
        </w:rPr>
        <w:t>K</w:t>
      </w:r>
      <w:r w:rsidR="00392F17">
        <w:t xml:space="preserve"> but has a twist that differs from that in part (c). </w:t>
      </w:r>
    </w:p>
    <w:p w14:paraId="6DF94354" w14:textId="6797BFA8" w:rsidR="00DE7888" w:rsidRDefault="00DE7888" w:rsidP="00DE7888">
      <w:pPr>
        <w:spacing w:before="120"/>
        <w:ind w:left="720" w:hanging="720"/>
        <w:rPr>
          <w:b/>
        </w:rPr>
      </w:pPr>
      <w:r>
        <w:rPr>
          <w:b/>
        </w:rPr>
        <w:t>e.)</w:t>
      </w:r>
      <w:r>
        <w:rPr>
          <w:b/>
        </w:rPr>
        <w:tab/>
        <w:t xml:space="preserve">{ &lt; f, x, y &gt; | </w:t>
      </w:r>
      <w:r>
        <w:rPr>
          <w:b/>
        </w:rPr>
        <w:sym w:font="Symbol" w:char="F06A"/>
      </w:r>
      <w:r w:rsidRPr="00EE547F">
        <w:rPr>
          <w:b/>
          <w:vertAlign w:val="subscript"/>
        </w:rPr>
        <w:t>f</w:t>
      </w:r>
      <w:r>
        <w:rPr>
          <w:b/>
        </w:rPr>
        <w:t>(x)</w:t>
      </w:r>
      <w:r>
        <w:rPr>
          <w:b/>
        </w:rPr>
        <w:sym w:font="Symbol" w:char="F0AF"/>
      </w:r>
      <w:r>
        <w:rPr>
          <w:b/>
        </w:rPr>
        <w:t xml:space="preserve"> and </w:t>
      </w:r>
      <w:r>
        <w:rPr>
          <w:b/>
        </w:rPr>
        <w:sym w:font="Symbol" w:char="F06A"/>
      </w:r>
      <w:r w:rsidRPr="00EE547F">
        <w:rPr>
          <w:b/>
          <w:vertAlign w:val="subscript"/>
        </w:rPr>
        <w:t>f</w:t>
      </w:r>
      <w:r>
        <w:rPr>
          <w:b/>
        </w:rPr>
        <w:t>(y)</w:t>
      </w:r>
      <w:r>
        <w:rPr>
          <w:b/>
        </w:rPr>
        <w:sym w:font="Symbol" w:char="F0AF"/>
      </w:r>
      <w:r>
        <w:rPr>
          <w:b/>
        </w:rPr>
        <w:t xml:space="preserve"> but </w:t>
      </w:r>
      <w:r>
        <w:rPr>
          <w:b/>
        </w:rPr>
        <w:sym w:font="Symbol" w:char="F06A"/>
      </w:r>
      <w:r w:rsidRPr="00EE547F">
        <w:rPr>
          <w:b/>
          <w:vertAlign w:val="subscript"/>
        </w:rPr>
        <w:t>f</w:t>
      </w:r>
      <w:r>
        <w:rPr>
          <w:b/>
        </w:rPr>
        <w:t xml:space="preserve">(x) takes longer to converge than does </w:t>
      </w:r>
      <w:r>
        <w:rPr>
          <w:b/>
        </w:rPr>
        <w:sym w:font="Symbol" w:char="F06A"/>
      </w:r>
      <w:r w:rsidRPr="00EE547F">
        <w:rPr>
          <w:b/>
          <w:vertAlign w:val="subscript"/>
        </w:rPr>
        <w:t>f</w:t>
      </w:r>
      <w:r>
        <w:rPr>
          <w:b/>
        </w:rPr>
        <w:t>(y) }</w:t>
      </w:r>
      <w:r>
        <w:rPr>
          <w:b/>
        </w:rPr>
        <w:tab/>
      </w:r>
    </w:p>
    <w:p w14:paraId="0E98E002" w14:textId="77777777" w:rsidR="00DE7888" w:rsidRDefault="00DE7888" w:rsidP="00DE7888">
      <w:pPr>
        <w:spacing w:before="120"/>
        <w:ind w:left="720" w:hanging="720"/>
        <w:rPr>
          <w:u w:val="single"/>
        </w:rPr>
      </w:pPr>
      <w:r>
        <w:rPr>
          <w:b/>
        </w:rPr>
        <w:tab/>
      </w:r>
      <w:r w:rsidRPr="009045AE">
        <w:rPr>
          <w:u w:val="single"/>
        </w:rPr>
        <w:tab/>
      </w:r>
      <w:r>
        <w:rPr>
          <w:u w:val="single"/>
        </w:rPr>
        <w:tab/>
      </w:r>
      <w:r w:rsidRPr="009045AE">
        <w:rPr>
          <w:u w:val="single"/>
        </w:rPr>
        <w:tab/>
      </w:r>
    </w:p>
    <w:p w14:paraId="19D6752F" w14:textId="77777777" w:rsidR="00DE7888" w:rsidRDefault="00DE7888" w:rsidP="00DE7888">
      <w:pPr>
        <w:spacing w:before="120"/>
        <w:rPr>
          <w:b/>
        </w:rPr>
      </w:pPr>
      <w:r>
        <w:rPr>
          <w:b/>
        </w:rPr>
        <w:tab/>
        <w:t>Justification:</w:t>
      </w:r>
      <w:r w:rsidRPr="00DE34B5">
        <w:rPr>
          <w:b/>
        </w:rPr>
        <w:tab/>
      </w:r>
    </w:p>
    <w:p w14:paraId="535A585A" w14:textId="542B215D" w:rsidR="00DE7888" w:rsidRPr="00DE7888" w:rsidRDefault="00DE7888" w:rsidP="00DE7888">
      <w:pPr>
        <w:spacing w:before="120"/>
      </w:pPr>
      <w:r>
        <w:t xml:space="preserve">Note: Be careful to address the fact that </w:t>
      </w:r>
      <w:r>
        <w:rPr>
          <w:b/>
        </w:rPr>
        <w:sym w:font="Symbol" w:char="F06A"/>
      </w:r>
      <w:r w:rsidRPr="00EE547F">
        <w:rPr>
          <w:b/>
          <w:vertAlign w:val="subscript"/>
        </w:rPr>
        <w:t>f</w:t>
      </w:r>
      <w:r>
        <w:t xml:space="preserve"> converges on both </w:t>
      </w:r>
      <w:r>
        <w:rPr>
          <w:b/>
        </w:rPr>
        <w:t>x</w:t>
      </w:r>
      <w:r>
        <w:t xml:space="preserve"> and </w:t>
      </w:r>
      <w:r>
        <w:rPr>
          <w:b/>
        </w:rPr>
        <w:t>y</w:t>
      </w:r>
      <w:r>
        <w:t>.</w:t>
      </w:r>
    </w:p>
    <w:p w14:paraId="5AF11681" w14:textId="77777777" w:rsidR="00DE7888" w:rsidRPr="00392F17" w:rsidRDefault="00DE7888" w:rsidP="003C11F0">
      <w:pPr>
        <w:spacing w:before="120"/>
      </w:pPr>
    </w:p>
    <w:sectPr w:rsidR="00DE7888" w:rsidRPr="00392F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C63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824D95"/>
    <w:multiLevelType w:val="hybridMultilevel"/>
    <w:tmpl w:val="E206A858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94139"/>
    <w:multiLevelType w:val="hybridMultilevel"/>
    <w:tmpl w:val="B20AA6E0"/>
    <w:lvl w:ilvl="0" w:tplc="81F2C77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A366A3A"/>
    <w:multiLevelType w:val="hybridMultilevel"/>
    <w:tmpl w:val="F3640600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75020"/>
    <w:rsid w:val="001911B2"/>
    <w:rsid w:val="001C0F29"/>
    <w:rsid w:val="00252CF5"/>
    <w:rsid w:val="00263E46"/>
    <w:rsid w:val="002677DC"/>
    <w:rsid w:val="002701D6"/>
    <w:rsid w:val="002A15D8"/>
    <w:rsid w:val="002F0792"/>
    <w:rsid w:val="00334A48"/>
    <w:rsid w:val="00392F17"/>
    <w:rsid w:val="003C11F0"/>
    <w:rsid w:val="003C57FB"/>
    <w:rsid w:val="00414534"/>
    <w:rsid w:val="0050482A"/>
    <w:rsid w:val="005240B0"/>
    <w:rsid w:val="005C3A5F"/>
    <w:rsid w:val="005C40EC"/>
    <w:rsid w:val="006B7086"/>
    <w:rsid w:val="00813758"/>
    <w:rsid w:val="008438B5"/>
    <w:rsid w:val="008A49BC"/>
    <w:rsid w:val="00995583"/>
    <w:rsid w:val="009D2995"/>
    <w:rsid w:val="00AD4AE9"/>
    <w:rsid w:val="00AD79B8"/>
    <w:rsid w:val="00B07B64"/>
    <w:rsid w:val="00B335C8"/>
    <w:rsid w:val="00B75C18"/>
    <w:rsid w:val="00B8026F"/>
    <w:rsid w:val="00BA2BAE"/>
    <w:rsid w:val="00BA700B"/>
    <w:rsid w:val="00BB018A"/>
    <w:rsid w:val="00C25303"/>
    <w:rsid w:val="00CA2B14"/>
    <w:rsid w:val="00CF1858"/>
    <w:rsid w:val="00D24056"/>
    <w:rsid w:val="00D2485F"/>
    <w:rsid w:val="00D33961"/>
    <w:rsid w:val="00DD6B51"/>
    <w:rsid w:val="00DE7888"/>
    <w:rsid w:val="00E06319"/>
    <w:rsid w:val="00E35CAF"/>
    <w:rsid w:val="00EE547F"/>
    <w:rsid w:val="00F017EB"/>
    <w:rsid w:val="00F333EE"/>
    <w:rsid w:val="00F369D4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49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1169</CharactersWithSpaces>
  <SharedDoc>false</SharedDoc>
  <HLinks>
    <vt:vector size="12" baseType="variant"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http://www.informatik.uni-trier.de/~ley/db/journals/mst/mst4.html</vt:lpwstr>
      </vt:variant>
      <vt:variant>
        <vt:lpwstr>BuchiH70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http://www.informatik.uni-trier.de/~ley/db/indices/a-tree/h/Hosken:W=_H=.html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Charlie Hughes</cp:lastModifiedBy>
  <cp:revision>9</cp:revision>
  <cp:lastPrinted>2014-01-01T06:13:00Z</cp:lastPrinted>
  <dcterms:created xsi:type="dcterms:W3CDTF">2014-01-01T06:17:00Z</dcterms:created>
  <dcterms:modified xsi:type="dcterms:W3CDTF">2015-02-17T21:20:00Z</dcterms:modified>
</cp:coreProperties>
</file>