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Exam #1</w:t>
      </w:r>
    </w:p>
    <w:p w:rsidR="0089506A" w:rsidRDefault="00A27367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June 8, 2011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89506A" w:rsidRDefault="0089506A" w:rsidP="0089506A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89506A" w:rsidRDefault="0089506A" w:rsidP="0089506A">
      <w:pPr>
        <w:jc w:val="center"/>
        <w:rPr>
          <w:b/>
          <w:bCs/>
          <w:sz w:val="36"/>
        </w:rPr>
      </w:pPr>
    </w:p>
    <w:p w:rsidR="0089506A" w:rsidRDefault="0089506A" w:rsidP="0089506A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89506A" w:rsidRDefault="0089506A">
      <w:pPr>
        <w:spacing w:after="0"/>
      </w:pPr>
    </w:p>
    <w:p w:rsidR="0089506A" w:rsidRDefault="0089506A">
      <w:pPr>
        <w:spacing w:after="0"/>
      </w:pPr>
      <w:r>
        <w:br w:type="page"/>
      </w:r>
    </w:p>
    <w:p w:rsidR="0002023C" w:rsidRDefault="00727906" w:rsidP="000B03AA">
      <w:pPr>
        <w:jc w:val="both"/>
      </w:pPr>
      <w:r>
        <w:lastRenderedPageBreak/>
        <w:t xml:space="preserve">1) </w:t>
      </w:r>
      <w:r w:rsidR="00A27367">
        <w:t>(</w:t>
      </w:r>
      <w:r w:rsidR="00816F3B">
        <w:t>14</w:t>
      </w:r>
      <w:r w:rsidR="00D66B93">
        <w:t xml:space="preserve"> pts) </w:t>
      </w:r>
      <w:r>
        <w:t xml:space="preserve">Create a DFA </w:t>
      </w:r>
      <w:r w:rsidR="00A27367">
        <w:t xml:space="preserve">over the alphabet {a, b} that contains exactly all non-empty strings that begin and end with the same letter. (For example, b, </w:t>
      </w:r>
      <w:proofErr w:type="spellStart"/>
      <w:r w:rsidR="00A27367">
        <w:t>abbaba</w:t>
      </w:r>
      <w:proofErr w:type="spellEnd"/>
      <w:r w:rsidR="00A27367">
        <w:t xml:space="preserve"> and </w:t>
      </w:r>
      <w:proofErr w:type="spellStart"/>
      <w:r w:rsidR="00A27367">
        <w:t>bbab</w:t>
      </w:r>
      <w:proofErr w:type="spellEnd"/>
      <w:r w:rsidR="00A27367">
        <w:t xml:space="preserve"> should be accepted, while </w:t>
      </w:r>
      <w:proofErr w:type="spellStart"/>
      <w:r w:rsidR="00A27367">
        <w:t>ab</w:t>
      </w:r>
      <w:proofErr w:type="spellEnd"/>
      <w:r w:rsidR="00A27367">
        <w:t xml:space="preserve">, </w:t>
      </w:r>
      <w:proofErr w:type="spellStart"/>
      <w:r w:rsidR="00A27367">
        <w:t>aaab</w:t>
      </w:r>
      <w:proofErr w:type="spellEnd"/>
      <w:r w:rsidR="00A27367">
        <w:t xml:space="preserve"> and </w:t>
      </w:r>
      <w:proofErr w:type="spellStart"/>
      <w:r w:rsidR="00A27367">
        <w:t>baba</w:t>
      </w:r>
      <w:proofErr w:type="spellEnd"/>
      <w:r w:rsidR="00A27367">
        <w:t xml:space="preserve"> should be rejected.) Provide both a drawing and the full formal definition of your DFA.</w:t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727906" w:rsidRDefault="00B06A86" w:rsidP="000B03AA">
      <w:pPr>
        <w:jc w:val="both"/>
      </w:pPr>
      <w:r>
        <w:lastRenderedPageBreak/>
        <w:t xml:space="preserve">2) </w:t>
      </w:r>
      <w:r w:rsidR="00D66B93">
        <w:t xml:space="preserve">(15 pts) </w:t>
      </w:r>
      <w:r w:rsidR="00A27367">
        <w:t xml:space="preserve">Let A and B be regular languages. Provide a complete construction proof (without making use of any of the closure results provided in class) to show that the language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∩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27367">
        <w:t xml:space="preserve"> is also regular. In particular, given a DFA that accepts </w:t>
      </w:r>
      <w:proofErr w:type="gramStart"/>
      <w:r w:rsidR="00A27367">
        <w:t>A</w:t>
      </w:r>
      <w:proofErr w:type="gramEnd"/>
      <w:r w:rsidR="00A27367">
        <w:t xml:space="preserve"> and a DFA that accepts B, describe how to create a DFA to accept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∩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27367">
        <w:t xml:space="preserve"> and justify that this DFA accepts this language.</w:t>
      </w:r>
    </w:p>
    <w:p w:rsidR="00B06A86" w:rsidRDefault="00B06A86"/>
    <w:p w:rsidR="00727906" w:rsidRDefault="00727906"/>
    <w:p w:rsidR="00D66B93" w:rsidRDefault="00D66B93">
      <w:pPr>
        <w:spacing w:after="0"/>
      </w:pPr>
      <w:r>
        <w:br w:type="page"/>
      </w:r>
    </w:p>
    <w:p w:rsidR="00C065DF" w:rsidRDefault="00727906" w:rsidP="00A27367">
      <w:pPr>
        <w:jc w:val="both"/>
      </w:pPr>
      <w:r>
        <w:lastRenderedPageBreak/>
        <w:t xml:space="preserve">3) </w:t>
      </w:r>
      <w:r w:rsidR="00D66B93">
        <w:t xml:space="preserve">(15 pts) </w:t>
      </w:r>
      <w:proofErr w:type="gramStart"/>
      <w:r w:rsidR="00A27367">
        <w:t>Given</w:t>
      </w:r>
      <w:proofErr w:type="gramEnd"/>
      <w:r w:rsidR="00A27367">
        <w:t xml:space="preserve"> the following DFA, consider running the algorithm in the textbook that converts this DFA to an equivalent regular expression. Run the portion of the algorithm that adds the new </w:t>
      </w:r>
      <w:proofErr w:type="gramStart"/>
      <w:r w:rsidR="00A27367">
        <w:t>start,</w:t>
      </w:r>
      <w:proofErr w:type="gramEnd"/>
      <w:r w:rsidR="00A27367">
        <w:t xml:space="preserve"> accept state, associated transitions, and rips out state 2.</w:t>
      </w:r>
      <w:r w:rsidR="00F82180">
        <w:t xml:space="preserve"> Show your work and draw the resulting GNFA with four states.</w:t>
      </w:r>
    </w:p>
    <w:p w:rsidR="00F82180" w:rsidRDefault="00C708C5" w:rsidP="00A27367">
      <w:pPr>
        <w:jc w:val="both"/>
      </w:pPr>
      <w:r>
        <w:rPr>
          <w:noProof/>
        </w:rPr>
        <w:drawing>
          <wp:inline distT="0" distB="0" distL="0" distR="0">
            <wp:extent cx="4467225" cy="1771650"/>
            <wp:effectExtent l="19050" t="0" r="9525" b="0"/>
            <wp:docPr id="1" name="Picture 0" descr="dfa-e1-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a-e1-q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DF" w:rsidRDefault="00C065DF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E31C0B" w:rsidRDefault="00C065DF" w:rsidP="00F82180">
      <w:pPr>
        <w:contextualSpacing/>
        <w:jc w:val="both"/>
      </w:pPr>
      <w:r>
        <w:lastRenderedPageBreak/>
        <w:t xml:space="preserve">4) </w:t>
      </w:r>
      <w:r w:rsidR="00816F3B">
        <w:t>(15</w:t>
      </w:r>
      <w:r w:rsidR="00D66B93">
        <w:t xml:space="preserve"> pts) </w:t>
      </w:r>
      <w:r w:rsidR="00F82180">
        <w:t xml:space="preserve">Let L be the language over the alphabet </w:t>
      </w:r>
      <w:proofErr w:type="gramStart"/>
      <w:r w:rsidR="00F82180">
        <w:t>{ (</w:t>
      </w:r>
      <w:proofErr w:type="gramEnd"/>
      <w:r w:rsidR="00F82180">
        <w:t xml:space="preserve"> , ) } of strings of well-formed parentheses.  Formally, in any string of well-formed parentheses, the number of open parentheses equals the number of close parentheses and in no substring of a string in the language starting from the beginning of the string does the number of close parentheses exceed the number of open parentheses. For example, the strings () , (()) , and (()())()((()))() are in the language, but ()) , (() , and (()())()) are not. Using the pumping lemma for regular languages prove that this language is not regular.</w:t>
      </w:r>
    </w:p>
    <w:p w:rsidR="00E31C0B" w:rsidRDefault="00E31C0B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BD6201" w:rsidRDefault="00E31C0B" w:rsidP="00F82180">
      <w:pPr>
        <w:contextualSpacing/>
        <w:jc w:val="both"/>
      </w:pPr>
      <w:r>
        <w:lastRenderedPageBreak/>
        <w:t xml:space="preserve">5) </w:t>
      </w:r>
      <w:r w:rsidR="00816F3B">
        <w:t>(10</w:t>
      </w:r>
      <w:r w:rsidR="00D66B93">
        <w:t xml:space="preserve"> pts) </w:t>
      </w:r>
      <w:r w:rsidR="00F82180">
        <w:t>Design a PDA to accept the language from question 4.</w:t>
      </w:r>
    </w:p>
    <w:p w:rsidR="00BD6201" w:rsidRDefault="00BD6201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BD6201" w:rsidRDefault="00BD6201" w:rsidP="000B03AA">
      <w:pPr>
        <w:contextualSpacing/>
        <w:jc w:val="both"/>
      </w:pPr>
      <w:r>
        <w:lastRenderedPageBreak/>
        <w:t xml:space="preserve">6) </w:t>
      </w:r>
      <w:r w:rsidR="00D45E15">
        <w:t xml:space="preserve"> </w:t>
      </w:r>
      <w:r w:rsidR="00D66B93">
        <w:t xml:space="preserve">(15 pts) </w:t>
      </w:r>
      <w:proofErr w:type="gramStart"/>
      <w:r w:rsidR="00F82180">
        <w:t>Convert</w:t>
      </w:r>
      <w:proofErr w:type="gramEnd"/>
      <w:r w:rsidR="00F82180">
        <w:t xml:space="preserve"> the following grammar with the start symbol S and terminals 0, 1 to Chomsky Normal Form:</w:t>
      </w:r>
    </w:p>
    <w:p w:rsidR="00F82180" w:rsidRDefault="00F82180" w:rsidP="000B03AA">
      <w:pPr>
        <w:contextualSpacing/>
        <w:jc w:val="both"/>
      </w:pPr>
    </w:p>
    <w:p w:rsidR="00F82180" w:rsidRDefault="00F82180" w:rsidP="00F82180">
      <w:pPr>
        <w:ind w:left="2880" w:firstLine="720"/>
        <w:contextualSpacing/>
        <w:jc w:val="both"/>
      </w:pPr>
      <w:r>
        <w:t xml:space="preserve">S </w:t>
      </w:r>
      <w:proofErr w:type="gramStart"/>
      <w:r>
        <w:t>→  ABC</w:t>
      </w:r>
      <w:proofErr w:type="gramEnd"/>
      <w:r>
        <w:t xml:space="preserve"> | C</w:t>
      </w:r>
    </w:p>
    <w:p w:rsidR="00F82180" w:rsidRDefault="00F82180" w:rsidP="00F82180">
      <w:pPr>
        <w:ind w:left="2880" w:firstLine="720"/>
        <w:contextualSpacing/>
        <w:jc w:val="both"/>
      </w:pPr>
      <w:r>
        <w:t>A → 0A0 | 1</w:t>
      </w:r>
    </w:p>
    <w:p w:rsidR="00F82180" w:rsidRDefault="00F82180" w:rsidP="00F82180">
      <w:pPr>
        <w:ind w:left="2880" w:firstLine="720"/>
        <w:contextualSpacing/>
        <w:jc w:val="both"/>
      </w:pPr>
      <w:r>
        <w:t>B → BS | 00 | ε</w:t>
      </w:r>
    </w:p>
    <w:p w:rsidR="00F82180" w:rsidRDefault="00F82180" w:rsidP="00F82180">
      <w:pPr>
        <w:ind w:left="2880" w:firstLine="720"/>
        <w:contextualSpacing/>
        <w:jc w:val="both"/>
      </w:pPr>
      <w:r>
        <w:t>C → 11 | C0 | ε</w:t>
      </w:r>
    </w:p>
    <w:p w:rsidR="0089506A" w:rsidRDefault="0089506A" w:rsidP="000B03AA">
      <w:pPr>
        <w:contextualSpacing/>
        <w:jc w:val="both"/>
      </w:pPr>
    </w:p>
    <w:p w:rsidR="00D66B93" w:rsidRDefault="00D66B93">
      <w:pPr>
        <w:spacing w:after="0"/>
      </w:pPr>
      <w:r>
        <w:br w:type="page"/>
      </w:r>
    </w:p>
    <w:p w:rsidR="0089506A" w:rsidRDefault="0089506A" w:rsidP="00F82180">
      <w:pPr>
        <w:contextualSpacing/>
        <w:jc w:val="both"/>
      </w:pPr>
      <w:r>
        <w:lastRenderedPageBreak/>
        <w:t xml:space="preserve">7) </w:t>
      </w:r>
      <w:r w:rsidR="00D66B93">
        <w:t xml:space="preserve">(15 pts) </w:t>
      </w:r>
      <w:r w:rsidR="00F82180">
        <w:t>Use the DFA minimization algorithm shown in class to create the DFA with the fewest number of states that accepts the same language as the DFA described below:</w:t>
      </w:r>
    </w:p>
    <w:p w:rsidR="00F82180" w:rsidRDefault="00F82180" w:rsidP="00F82180">
      <w:pPr>
        <w:contextualSpacing/>
        <w:jc w:val="both"/>
      </w:pPr>
    </w:p>
    <w:p w:rsidR="00F82180" w:rsidRDefault="00F82180" w:rsidP="00F82180">
      <w:pPr>
        <w:contextualSpacing/>
        <w:jc w:val="both"/>
      </w:pPr>
      <w:r>
        <w:t>Σ = {0, 1}</w:t>
      </w:r>
    </w:p>
    <w:p w:rsidR="00F82180" w:rsidRDefault="00F82180" w:rsidP="00F82180">
      <w:pPr>
        <w:contextualSpacing/>
        <w:jc w:val="both"/>
      </w:pPr>
      <w:r>
        <w:t>Q = {q</w:t>
      </w:r>
      <w:r>
        <w:rPr>
          <w:vertAlign w:val="subscript"/>
        </w:rPr>
        <w:t>0</w:t>
      </w:r>
      <w:proofErr w:type="gramStart"/>
      <w:r>
        <w:t>,  q</w:t>
      </w:r>
      <w:r>
        <w:rPr>
          <w:vertAlign w:val="subscript"/>
        </w:rPr>
        <w:t>1</w:t>
      </w:r>
      <w:proofErr w:type="gramEnd"/>
      <w:r>
        <w:t>, q</w:t>
      </w:r>
      <w:r>
        <w:rPr>
          <w:vertAlign w:val="subscript"/>
        </w:rPr>
        <w:t>2</w:t>
      </w:r>
      <w:r>
        <w:t>, q</w:t>
      </w:r>
      <w:r>
        <w:rPr>
          <w:vertAlign w:val="subscript"/>
        </w:rPr>
        <w:t>3</w:t>
      </w:r>
      <w:r>
        <w:t>, q</w:t>
      </w:r>
      <w:r>
        <w:rPr>
          <w:vertAlign w:val="subscript"/>
        </w:rPr>
        <w:t>4</w:t>
      </w:r>
      <w:r>
        <w:t>,</w:t>
      </w:r>
      <w:r w:rsidRPr="00F82180">
        <w:t xml:space="preserve"> </w:t>
      </w:r>
      <w:r>
        <w:t>q</w:t>
      </w:r>
      <w:r>
        <w:rPr>
          <w:vertAlign w:val="subscript"/>
        </w:rPr>
        <w:t>5</w:t>
      </w:r>
      <w:r>
        <w:t>}</w:t>
      </w:r>
    </w:p>
    <w:p w:rsidR="00F82180" w:rsidRDefault="00F82180" w:rsidP="00F82180">
      <w:pPr>
        <w:contextualSpacing/>
        <w:jc w:val="both"/>
      </w:pPr>
      <w:r>
        <w:t>Start state = q</w:t>
      </w:r>
      <w:r>
        <w:rPr>
          <w:vertAlign w:val="subscript"/>
        </w:rPr>
        <w:t>0</w:t>
      </w:r>
    </w:p>
    <w:p w:rsidR="00F82180" w:rsidRDefault="00F82180" w:rsidP="00F82180">
      <w:pPr>
        <w:contextualSpacing/>
        <w:jc w:val="both"/>
      </w:pPr>
      <w:r>
        <w:t>F = {</w:t>
      </w:r>
      <w:proofErr w:type="gramStart"/>
      <w:r>
        <w:t>q</w:t>
      </w:r>
      <w:r>
        <w:rPr>
          <w:vertAlign w:val="subscript"/>
        </w:rPr>
        <w:t>0</w:t>
      </w:r>
      <w:r>
        <w:t xml:space="preserve"> ,</w:t>
      </w:r>
      <w:proofErr w:type="gramEnd"/>
      <w:r>
        <w:t xml:space="preserve"> q</w:t>
      </w:r>
      <w:r>
        <w:rPr>
          <w:vertAlign w:val="subscript"/>
        </w:rPr>
        <w:t>3</w:t>
      </w:r>
      <w:r>
        <w:t>, q</w:t>
      </w:r>
      <w:r>
        <w:rPr>
          <w:vertAlign w:val="subscript"/>
        </w:rPr>
        <w:t>5</w:t>
      </w:r>
      <w:r>
        <w:t>}</w:t>
      </w:r>
    </w:p>
    <w:p w:rsidR="00F82180" w:rsidRDefault="00F82180" w:rsidP="00F82180">
      <w:pPr>
        <w:contextualSpacing/>
        <w:jc w:val="both"/>
      </w:pPr>
      <w:r>
        <w:t>Transition function:</w:t>
      </w:r>
    </w:p>
    <w:p w:rsidR="00F82180" w:rsidRDefault="00F82180" w:rsidP="00F82180">
      <w:pPr>
        <w:contextualSpacing/>
        <w:jc w:val="both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82180" w:rsidTr="00F82180"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Input State</w:t>
            </w:r>
          </w:p>
        </w:tc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Input Letter</w:t>
            </w:r>
          </w:p>
        </w:tc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Output State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5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3192" w:type="dxa"/>
          </w:tcPr>
          <w:p w:rsidR="00F82180" w:rsidRDefault="00F82180" w:rsidP="00F82180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337CA6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5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337CA6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337CA6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337CA6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F82180" w:rsidTr="00F82180">
        <w:tc>
          <w:tcPr>
            <w:tcW w:w="3192" w:type="dxa"/>
          </w:tcPr>
          <w:p w:rsidR="00F82180" w:rsidRPr="00F82180" w:rsidRDefault="00F82180" w:rsidP="00337CA6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5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</w:tr>
      <w:tr w:rsidR="00F82180" w:rsidTr="00F82180"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5</w:t>
            </w:r>
          </w:p>
        </w:tc>
        <w:tc>
          <w:tcPr>
            <w:tcW w:w="3192" w:type="dxa"/>
          </w:tcPr>
          <w:p w:rsidR="00F82180" w:rsidRDefault="00F82180" w:rsidP="00337CA6">
            <w:pPr>
              <w:contextualSpacing/>
              <w:jc w:val="both"/>
            </w:pPr>
            <w:r>
              <w:t>1</w:t>
            </w:r>
          </w:p>
        </w:tc>
        <w:tc>
          <w:tcPr>
            <w:tcW w:w="3192" w:type="dxa"/>
          </w:tcPr>
          <w:p w:rsidR="00F82180" w:rsidRPr="00816F3B" w:rsidRDefault="00816F3B" w:rsidP="00F82180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</w:tr>
    </w:tbl>
    <w:p w:rsidR="00F82180" w:rsidRPr="00F82180" w:rsidRDefault="00F82180" w:rsidP="00F82180">
      <w:pPr>
        <w:contextualSpacing/>
        <w:jc w:val="both"/>
      </w:pPr>
    </w:p>
    <w:p w:rsidR="008D09A7" w:rsidRDefault="00816F3B">
      <w:pPr>
        <w:contextualSpacing/>
      </w:pPr>
      <w:r>
        <w:t>Provide your answer with a precise drawing of the minimized DFA.</w:t>
      </w: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D66B93" w:rsidRDefault="000B03AA">
      <w:pPr>
        <w:contextualSpacing/>
      </w:pPr>
      <w:r>
        <w:t xml:space="preserve">8) (1 pt) </w:t>
      </w:r>
      <w:proofErr w:type="gramStart"/>
      <w:r w:rsidR="00AC54E8">
        <w:t>Who</w:t>
      </w:r>
      <w:proofErr w:type="gramEnd"/>
      <w:r w:rsidR="00AC54E8">
        <w:t xml:space="preserve"> wrote George W. Bush’s autobiography, </w:t>
      </w:r>
      <w:r w:rsidR="00AC54E8" w:rsidRPr="00AC54E8">
        <w:rPr>
          <w:u w:val="single"/>
        </w:rPr>
        <w:t>Decision Points</w:t>
      </w:r>
      <w:r w:rsidR="00AC54E8">
        <w:t>? ___________________</w:t>
      </w:r>
    </w:p>
    <w:p w:rsidR="00AC54E8" w:rsidRPr="00AC54E8" w:rsidRDefault="00AC54E8">
      <w:pPr>
        <w:contextualSpacing/>
        <w:rPr>
          <w:b/>
        </w:rPr>
      </w:pPr>
      <w:r w:rsidRPr="00AC54E8">
        <w:rPr>
          <w:b/>
        </w:rPr>
        <w:lastRenderedPageBreak/>
        <w:t xml:space="preserve">Scratch Page – Please clearly mark any work you would like </w:t>
      </w:r>
      <w:proofErr w:type="gramStart"/>
      <w:r w:rsidRPr="00AC54E8">
        <w:rPr>
          <w:b/>
        </w:rPr>
        <w:t>graded</w:t>
      </w:r>
      <w:proofErr w:type="gramEnd"/>
      <w:r w:rsidRPr="00AC54E8">
        <w:rPr>
          <w:b/>
        </w:rPr>
        <w:t xml:space="preserve"> on this page.</w:t>
      </w:r>
    </w:p>
    <w:sectPr w:rsidR="00AC54E8" w:rsidRPr="00AC54E8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906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B03AA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20DC7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07709"/>
    <w:rsid w:val="00721D74"/>
    <w:rsid w:val="00721DBA"/>
    <w:rsid w:val="00723885"/>
    <w:rsid w:val="00727906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16F3B"/>
    <w:rsid w:val="008242F9"/>
    <w:rsid w:val="00824982"/>
    <w:rsid w:val="00862060"/>
    <w:rsid w:val="0089506A"/>
    <w:rsid w:val="008B7F8B"/>
    <w:rsid w:val="008D09A7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D358A"/>
    <w:rsid w:val="009F49EF"/>
    <w:rsid w:val="00A07B52"/>
    <w:rsid w:val="00A15EEA"/>
    <w:rsid w:val="00A27367"/>
    <w:rsid w:val="00A42989"/>
    <w:rsid w:val="00A47BD5"/>
    <w:rsid w:val="00A524D2"/>
    <w:rsid w:val="00A531A7"/>
    <w:rsid w:val="00A55AAD"/>
    <w:rsid w:val="00A6456B"/>
    <w:rsid w:val="00A70533"/>
    <w:rsid w:val="00A713F8"/>
    <w:rsid w:val="00A72A66"/>
    <w:rsid w:val="00A77378"/>
    <w:rsid w:val="00AA5C9D"/>
    <w:rsid w:val="00AC54E8"/>
    <w:rsid w:val="00AD0300"/>
    <w:rsid w:val="00AD788F"/>
    <w:rsid w:val="00AE02E8"/>
    <w:rsid w:val="00B03880"/>
    <w:rsid w:val="00B05715"/>
    <w:rsid w:val="00B06A86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D6201"/>
    <w:rsid w:val="00BF032F"/>
    <w:rsid w:val="00BF3602"/>
    <w:rsid w:val="00C00ADC"/>
    <w:rsid w:val="00C05251"/>
    <w:rsid w:val="00C065DF"/>
    <w:rsid w:val="00C31522"/>
    <w:rsid w:val="00C35B0D"/>
    <w:rsid w:val="00C36EA0"/>
    <w:rsid w:val="00C3736E"/>
    <w:rsid w:val="00C4349B"/>
    <w:rsid w:val="00C56E78"/>
    <w:rsid w:val="00C708C5"/>
    <w:rsid w:val="00C7782D"/>
    <w:rsid w:val="00C9110C"/>
    <w:rsid w:val="00C96C03"/>
    <w:rsid w:val="00CB3DDE"/>
    <w:rsid w:val="00CD29A1"/>
    <w:rsid w:val="00CE0BA0"/>
    <w:rsid w:val="00CE398B"/>
    <w:rsid w:val="00D22922"/>
    <w:rsid w:val="00D45E15"/>
    <w:rsid w:val="00D53320"/>
    <w:rsid w:val="00D61883"/>
    <w:rsid w:val="00D619CD"/>
    <w:rsid w:val="00D6658D"/>
    <w:rsid w:val="00D66B93"/>
    <w:rsid w:val="00D73D5D"/>
    <w:rsid w:val="00D90CFA"/>
    <w:rsid w:val="00DA1241"/>
    <w:rsid w:val="00DB6209"/>
    <w:rsid w:val="00DC0AF2"/>
    <w:rsid w:val="00DC6909"/>
    <w:rsid w:val="00E170A1"/>
    <w:rsid w:val="00E25E7C"/>
    <w:rsid w:val="00E31C0B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82180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DF"/>
    <w:rPr>
      <w:color w:val="808080"/>
    </w:rPr>
  </w:style>
  <w:style w:type="table" w:styleId="TableGrid">
    <w:name w:val="Table Grid"/>
    <w:basedOn w:val="TableNormal"/>
    <w:uiPriority w:val="59"/>
    <w:rsid w:val="00F82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5</cp:revision>
  <dcterms:created xsi:type="dcterms:W3CDTF">2010-09-23T12:35:00Z</dcterms:created>
  <dcterms:modified xsi:type="dcterms:W3CDTF">2011-06-08T20:37:00Z</dcterms:modified>
</cp:coreProperties>
</file>